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84" w:rsidRDefault="004F1784" w:rsidP="004F1784">
      <w:pPr>
        <w:autoSpaceDE w:val="0"/>
        <w:autoSpaceDN w:val="0"/>
        <w:adjustRightInd w:val="0"/>
        <w:spacing w:after="0" w:line="240" w:lineRule="auto"/>
        <w:jc w:val="center"/>
        <w:rPr>
          <w:rFonts w:ascii="Verdana" w:hAnsi="Verdana" w:cs="Verdana"/>
          <w:sz w:val="28"/>
          <w:szCs w:val="28"/>
        </w:rPr>
      </w:pPr>
      <w:r>
        <w:rPr>
          <w:rFonts w:ascii="Verdana" w:hAnsi="Verdana" w:cs="Verdana"/>
          <w:sz w:val="28"/>
          <w:szCs w:val="28"/>
        </w:rPr>
        <w:t>QMC Events</w:t>
      </w:r>
    </w:p>
    <w:p w:rsidR="004F1784" w:rsidRDefault="004F1784" w:rsidP="004F1784">
      <w:pPr>
        <w:autoSpaceDE w:val="0"/>
        <w:autoSpaceDN w:val="0"/>
        <w:adjustRightInd w:val="0"/>
        <w:spacing w:after="0" w:line="240" w:lineRule="auto"/>
        <w:jc w:val="center"/>
        <w:rPr>
          <w:rFonts w:ascii="Verdana" w:hAnsi="Verdana" w:cs="Verdana"/>
          <w:sz w:val="28"/>
          <w:szCs w:val="28"/>
        </w:rPr>
      </w:pPr>
    </w:p>
    <w:p w:rsidR="004F1784" w:rsidRDefault="004F1784" w:rsidP="004F1784">
      <w:pPr>
        <w:autoSpaceDE w:val="0"/>
        <w:autoSpaceDN w:val="0"/>
        <w:adjustRightInd w:val="0"/>
        <w:spacing w:after="0" w:line="240" w:lineRule="auto"/>
        <w:jc w:val="center"/>
        <w:rPr>
          <w:rFonts w:ascii="Verdana" w:hAnsi="Verdana" w:cs="Verdana"/>
          <w:sz w:val="28"/>
          <w:szCs w:val="28"/>
        </w:rPr>
      </w:pPr>
      <w:r>
        <w:rPr>
          <w:rFonts w:ascii="Verdana" w:hAnsi="Verdana" w:cs="Verdana"/>
          <w:sz w:val="28"/>
          <w:szCs w:val="28"/>
        </w:rPr>
        <w:t xml:space="preserve">Method Statement for </w:t>
      </w:r>
      <w:r w:rsidR="007F2072">
        <w:rPr>
          <w:rFonts w:ascii="Verdana" w:hAnsi="Verdana" w:cs="Verdana"/>
          <w:sz w:val="28"/>
          <w:szCs w:val="28"/>
        </w:rPr>
        <w:t>Punch &amp; Judy Entertainer</w:t>
      </w:r>
    </w:p>
    <w:p w:rsidR="004F1784" w:rsidRDefault="004F1784" w:rsidP="004F1784">
      <w:pPr>
        <w:autoSpaceDE w:val="0"/>
        <w:autoSpaceDN w:val="0"/>
        <w:adjustRightInd w:val="0"/>
        <w:spacing w:after="0" w:line="240" w:lineRule="auto"/>
        <w:rPr>
          <w:rFonts w:ascii="Verdana" w:hAnsi="Verdana" w:cs="Verdana"/>
          <w:sz w:val="28"/>
          <w:szCs w:val="28"/>
        </w:rPr>
      </w:pPr>
    </w:p>
    <w:p w:rsidR="004F1784" w:rsidRDefault="004F1784" w:rsidP="004F1784">
      <w:pPr>
        <w:autoSpaceDE w:val="0"/>
        <w:autoSpaceDN w:val="0"/>
        <w:adjustRightInd w:val="0"/>
        <w:spacing w:after="0" w:line="240" w:lineRule="auto"/>
        <w:rPr>
          <w:rFonts w:ascii="Verdana" w:hAnsi="Verdana" w:cs="Verdana"/>
          <w:sz w:val="28"/>
          <w:szCs w:val="28"/>
        </w:rPr>
      </w:pPr>
      <w:r>
        <w:rPr>
          <w:rFonts w:ascii="Verdana" w:hAnsi="Verdana" w:cs="Verdana"/>
          <w:b/>
          <w:bCs/>
          <w:sz w:val="28"/>
          <w:szCs w:val="28"/>
        </w:rPr>
        <w:t>Activity</w:t>
      </w:r>
      <w:r>
        <w:rPr>
          <w:rFonts w:ascii="Verdana" w:hAnsi="Verdana" w:cs="Verdana"/>
          <w:sz w:val="28"/>
          <w:szCs w:val="28"/>
        </w:rPr>
        <w:t xml:space="preserve">: </w:t>
      </w:r>
      <w:r w:rsidR="007E50F4">
        <w:rPr>
          <w:rFonts w:ascii="Verdana" w:hAnsi="Verdana" w:cs="Verdana"/>
          <w:sz w:val="28"/>
          <w:szCs w:val="28"/>
        </w:rPr>
        <w:t>This Risk Assessment and arrangement covers the operations of a</w:t>
      </w:r>
      <w:r w:rsidR="007F2072">
        <w:rPr>
          <w:rFonts w:ascii="Verdana" w:hAnsi="Verdana" w:cs="Verdana"/>
          <w:sz w:val="28"/>
          <w:szCs w:val="28"/>
        </w:rPr>
        <w:t xml:space="preserve"> Punch &amp; Judy Show</w:t>
      </w:r>
      <w:r w:rsidR="007E50F4">
        <w:rPr>
          <w:rFonts w:ascii="Verdana" w:hAnsi="Verdana" w:cs="Verdana"/>
          <w:sz w:val="28"/>
          <w:szCs w:val="28"/>
        </w:rPr>
        <w:t xml:space="preserve">. This Risk Assessment must be read in conjunction with the Task instruction. </w:t>
      </w:r>
    </w:p>
    <w:p w:rsidR="004F1784" w:rsidRDefault="004F1784" w:rsidP="004F1784">
      <w:pPr>
        <w:autoSpaceDE w:val="0"/>
        <w:autoSpaceDN w:val="0"/>
        <w:adjustRightInd w:val="0"/>
        <w:spacing w:after="0" w:line="240" w:lineRule="auto"/>
        <w:rPr>
          <w:rFonts w:ascii="Verdana" w:hAnsi="Verdana" w:cs="Verdana"/>
          <w:sz w:val="28"/>
          <w:szCs w:val="28"/>
        </w:rPr>
      </w:pPr>
    </w:p>
    <w:tbl>
      <w:tblPr>
        <w:tblStyle w:val="TableGrid"/>
        <w:tblW w:w="0" w:type="auto"/>
        <w:tblLook w:val="04A0"/>
      </w:tblPr>
      <w:tblGrid>
        <w:gridCol w:w="4621"/>
        <w:gridCol w:w="4621"/>
      </w:tblGrid>
      <w:tr w:rsidR="004F1784" w:rsidRPr="004F1784" w:rsidTr="004F1784">
        <w:tc>
          <w:tcPr>
            <w:tcW w:w="4621" w:type="dxa"/>
          </w:tcPr>
          <w:p w:rsidR="004F1784" w:rsidRPr="004F1784" w:rsidRDefault="007E50F4" w:rsidP="004F1784">
            <w:pPr>
              <w:autoSpaceDE w:val="0"/>
              <w:autoSpaceDN w:val="0"/>
              <w:adjustRightInd w:val="0"/>
              <w:rPr>
                <w:rFonts w:ascii="Verdana" w:hAnsi="Verdana" w:cs="Verdana"/>
                <w:bCs/>
                <w:sz w:val="24"/>
                <w:szCs w:val="24"/>
              </w:rPr>
            </w:pPr>
            <w:r>
              <w:rPr>
                <w:rFonts w:ascii="Verdana" w:hAnsi="Verdana" w:cs="Verdana"/>
                <w:sz w:val="24"/>
                <w:szCs w:val="24"/>
              </w:rPr>
              <w:t>Persons at Risk</w:t>
            </w:r>
          </w:p>
        </w:tc>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t>The people especially at risk from most hazards a</w:t>
            </w:r>
            <w:r w:rsidR="00576782">
              <w:rPr>
                <w:rFonts w:ascii="Verdana" w:hAnsi="Verdana" w:cs="Verdana"/>
                <w:sz w:val="24"/>
                <w:szCs w:val="24"/>
              </w:rPr>
              <w:t>re</w:t>
            </w:r>
            <w:r>
              <w:rPr>
                <w:rFonts w:ascii="Verdana" w:hAnsi="Verdana" w:cs="Verdana"/>
                <w:sz w:val="24"/>
                <w:szCs w:val="24"/>
              </w:rPr>
              <w:t xml:space="preserve"> the Entertainer and the general public children. </w:t>
            </w:r>
          </w:p>
          <w:p w:rsidR="004F1784" w:rsidRPr="004F1784" w:rsidRDefault="004F1784" w:rsidP="004F1784">
            <w:pPr>
              <w:autoSpaceDE w:val="0"/>
              <w:autoSpaceDN w:val="0"/>
              <w:adjustRightInd w:val="0"/>
              <w:rPr>
                <w:rFonts w:ascii="Verdana" w:hAnsi="Verdana" w:cs="Verdana"/>
                <w:bCs/>
                <w:sz w:val="24"/>
                <w:szCs w:val="24"/>
              </w:rPr>
            </w:pPr>
          </w:p>
        </w:tc>
      </w:tr>
      <w:tr w:rsidR="004F1784" w:rsidRPr="004F1784" w:rsidTr="004F1784">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t>Hazards</w:t>
            </w:r>
          </w:p>
        </w:tc>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t xml:space="preserve">The significant hazards associated with </w:t>
            </w:r>
            <w:r w:rsidR="007F2072">
              <w:rPr>
                <w:rFonts w:ascii="Verdana" w:hAnsi="Verdana" w:cs="Verdana"/>
                <w:sz w:val="24"/>
                <w:szCs w:val="24"/>
              </w:rPr>
              <w:t xml:space="preserve">this activity are bumps and knocks sustained during set up or break down of the show. </w:t>
            </w:r>
          </w:p>
          <w:p w:rsidR="007F2072" w:rsidRDefault="007F2072" w:rsidP="004F1784">
            <w:pPr>
              <w:autoSpaceDE w:val="0"/>
              <w:autoSpaceDN w:val="0"/>
              <w:adjustRightInd w:val="0"/>
              <w:rPr>
                <w:rFonts w:ascii="Verdana" w:hAnsi="Verdana" w:cs="Verdana"/>
                <w:sz w:val="24"/>
                <w:szCs w:val="24"/>
              </w:rPr>
            </w:pPr>
          </w:p>
          <w:p w:rsidR="007F2072" w:rsidRDefault="007F2072" w:rsidP="004F1784">
            <w:pPr>
              <w:autoSpaceDE w:val="0"/>
              <w:autoSpaceDN w:val="0"/>
              <w:adjustRightInd w:val="0"/>
              <w:rPr>
                <w:rFonts w:ascii="Verdana" w:hAnsi="Verdana" w:cs="Verdana"/>
                <w:sz w:val="24"/>
                <w:szCs w:val="24"/>
              </w:rPr>
            </w:pPr>
            <w:r>
              <w:rPr>
                <w:rFonts w:ascii="Verdana" w:hAnsi="Verdana" w:cs="Verdana"/>
                <w:sz w:val="24"/>
                <w:szCs w:val="24"/>
              </w:rPr>
              <w:t>Tripping and falling.</w:t>
            </w:r>
          </w:p>
          <w:p w:rsidR="004F1784" w:rsidRDefault="004F1784" w:rsidP="004F1784">
            <w:pPr>
              <w:autoSpaceDE w:val="0"/>
              <w:autoSpaceDN w:val="0"/>
              <w:adjustRightInd w:val="0"/>
              <w:rPr>
                <w:rFonts w:ascii="Verdana" w:hAnsi="Verdana" w:cs="Verdana"/>
                <w:sz w:val="24"/>
                <w:szCs w:val="24"/>
              </w:rPr>
            </w:pPr>
          </w:p>
        </w:tc>
      </w:tr>
      <w:tr w:rsidR="004F1784" w:rsidRPr="004F1784" w:rsidTr="004F1784">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t>Risk Evaluation</w:t>
            </w:r>
          </w:p>
        </w:tc>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t xml:space="preserve">The following arrangements should eliminate or reduce the risk of the above hazards to an acceptable level. The analysis of the likelihood and severity of the main hazards causing harm, taking into account existing and planned preventative and protective measures (included in the following arrangements), is shown on the risk assessment forms. </w:t>
            </w:r>
          </w:p>
          <w:p w:rsidR="007E50F4" w:rsidRDefault="007E50F4" w:rsidP="004F1784">
            <w:pPr>
              <w:autoSpaceDE w:val="0"/>
              <w:autoSpaceDN w:val="0"/>
              <w:adjustRightInd w:val="0"/>
              <w:rPr>
                <w:rFonts w:ascii="Verdana" w:hAnsi="Verdana" w:cs="Verdana"/>
                <w:sz w:val="24"/>
                <w:szCs w:val="24"/>
              </w:rPr>
            </w:pPr>
          </w:p>
        </w:tc>
      </w:tr>
      <w:tr w:rsidR="004F1784" w:rsidRPr="004F1784" w:rsidTr="004F1784">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t>Arrangements</w:t>
            </w:r>
          </w:p>
        </w:tc>
        <w:tc>
          <w:tcPr>
            <w:tcW w:w="4621" w:type="dxa"/>
          </w:tcPr>
          <w:p w:rsidR="004F1784" w:rsidRDefault="007E50F4" w:rsidP="004F1784">
            <w:pPr>
              <w:autoSpaceDE w:val="0"/>
              <w:autoSpaceDN w:val="0"/>
              <w:adjustRightInd w:val="0"/>
              <w:rPr>
                <w:rFonts w:ascii="Verdana" w:hAnsi="Verdana" w:cs="Verdana"/>
                <w:sz w:val="24"/>
                <w:szCs w:val="24"/>
                <w:u w:val="single"/>
              </w:rPr>
            </w:pPr>
            <w:r>
              <w:rPr>
                <w:rFonts w:ascii="Verdana" w:hAnsi="Verdana" w:cs="Verdana"/>
                <w:sz w:val="24"/>
                <w:szCs w:val="24"/>
                <w:u w:val="single"/>
              </w:rPr>
              <w:t>Planning and Organising</w:t>
            </w:r>
          </w:p>
          <w:p w:rsidR="007F2072" w:rsidRDefault="007E50F4" w:rsidP="004F1784">
            <w:pPr>
              <w:autoSpaceDE w:val="0"/>
              <w:autoSpaceDN w:val="0"/>
              <w:adjustRightInd w:val="0"/>
              <w:rPr>
                <w:rFonts w:ascii="Verdana" w:hAnsi="Verdana" w:cs="Verdana"/>
                <w:sz w:val="24"/>
                <w:szCs w:val="24"/>
              </w:rPr>
            </w:pPr>
            <w:r>
              <w:rPr>
                <w:rFonts w:ascii="Verdana" w:hAnsi="Verdana" w:cs="Verdana"/>
                <w:sz w:val="24"/>
                <w:szCs w:val="24"/>
              </w:rPr>
              <w:t>The Entertainer shall be provided with the relevant information, Instruction and Training necessary to complete the task. This will be detailed in the relevant Task instruction.</w:t>
            </w:r>
          </w:p>
          <w:p w:rsidR="007F2072" w:rsidRDefault="007F2072" w:rsidP="004F1784">
            <w:pPr>
              <w:autoSpaceDE w:val="0"/>
              <w:autoSpaceDN w:val="0"/>
              <w:adjustRightInd w:val="0"/>
              <w:rPr>
                <w:rFonts w:ascii="Verdana" w:hAnsi="Verdana" w:cs="Verdana"/>
                <w:sz w:val="24"/>
                <w:szCs w:val="24"/>
              </w:rPr>
            </w:pPr>
          </w:p>
          <w:p w:rsidR="007F2072" w:rsidRDefault="007F2072" w:rsidP="004F1784">
            <w:pPr>
              <w:autoSpaceDE w:val="0"/>
              <w:autoSpaceDN w:val="0"/>
              <w:adjustRightInd w:val="0"/>
              <w:rPr>
                <w:rFonts w:ascii="Verdana" w:hAnsi="Verdana" w:cs="Verdana"/>
                <w:sz w:val="24"/>
                <w:szCs w:val="24"/>
              </w:rPr>
            </w:pPr>
            <w:r>
              <w:rPr>
                <w:rFonts w:ascii="Verdana" w:hAnsi="Verdana" w:cs="Verdana"/>
                <w:sz w:val="24"/>
                <w:szCs w:val="24"/>
              </w:rPr>
              <w:t>Area will be kept tidy with store boxes and bags sensiblystored to as not to obstruct walkway.</w:t>
            </w:r>
          </w:p>
          <w:p w:rsidR="007F2072" w:rsidRDefault="007F2072" w:rsidP="004F1784">
            <w:pPr>
              <w:autoSpaceDE w:val="0"/>
              <w:autoSpaceDN w:val="0"/>
              <w:adjustRightInd w:val="0"/>
              <w:rPr>
                <w:rFonts w:ascii="Verdana" w:hAnsi="Verdana" w:cs="Verdana"/>
                <w:sz w:val="24"/>
                <w:szCs w:val="24"/>
              </w:rPr>
            </w:pPr>
          </w:p>
          <w:p w:rsidR="007E50F4" w:rsidRDefault="007F2072" w:rsidP="004F1784">
            <w:pPr>
              <w:autoSpaceDE w:val="0"/>
              <w:autoSpaceDN w:val="0"/>
              <w:adjustRightInd w:val="0"/>
              <w:rPr>
                <w:rFonts w:ascii="Verdana" w:hAnsi="Verdana" w:cs="Verdana"/>
                <w:sz w:val="24"/>
                <w:szCs w:val="24"/>
              </w:rPr>
            </w:pPr>
            <w:r>
              <w:rPr>
                <w:rFonts w:ascii="Verdana" w:hAnsi="Verdana" w:cs="Verdana"/>
                <w:sz w:val="24"/>
                <w:szCs w:val="24"/>
              </w:rPr>
              <w:t>All cables will be taped down.</w:t>
            </w:r>
          </w:p>
          <w:p w:rsidR="007E50F4" w:rsidRDefault="007E50F4" w:rsidP="004F1784">
            <w:pPr>
              <w:autoSpaceDE w:val="0"/>
              <w:autoSpaceDN w:val="0"/>
              <w:adjustRightInd w:val="0"/>
              <w:rPr>
                <w:rFonts w:ascii="Verdana" w:hAnsi="Verdana" w:cs="Verdana"/>
                <w:sz w:val="24"/>
                <w:szCs w:val="24"/>
              </w:rPr>
            </w:pPr>
          </w:p>
          <w:p w:rsidR="007E50F4" w:rsidRDefault="007E50F4" w:rsidP="004F1784">
            <w:pPr>
              <w:autoSpaceDE w:val="0"/>
              <w:autoSpaceDN w:val="0"/>
              <w:adjustRightInd w:val="0"/>
              <w:rPr>
                <w:rFonts w:ascii="Verdana" w:hAnsi="Verdana" w:cs="Verdana"/>
                <w:sz w:val="24"/>
                <w:szCs w:val="24"/>
                <w:u w:val="single"/>
              </w:rPr>
            </w:pPr>
            <w:r>
              <w:rPr>
                <w:rFonts w:ascii="Verdana" w:hAnsi="Verdana" w:cs="Verdana"/>
                <w:sz w:val="24"/>
                <w:szCs w:val="24"/>
                <w:u w:val="single"/>
              </w:rPr>
              <w:t>Training and Instruction</w:t>
            </w:r>
          </w:p>
          <w:p w:rsidR="007E50F4" w:rsidRDefault="007E50F4" w:rsidP="004F1784">
            <w:pPr>
              <w:autoSpaceDE w:val="0"/>
              <w:autoSpaceDN w:val="0"/>
              <w:adjustRightInd w:val="0"/>
              <w:rPr>
                <w:rFonts w:ascii="Verdana" w:hAnsi="Verdana" w:cs="Verdana"/>
                <w:sz w:val="24"/>
                <w:szCs w:val="24"/>
              </w:rPr>
            </w:pPr>
            <w:r>
              <w:rPr>
                <w:rFonts w:ascii="Verdana" w:hAnsi="Verdana" w:cs="Verdana"/>
                <w:sz w:val="24"/>
                <w:szCs w:val="24"/>
              </w:rPr>
              <w:lastRenderedPageBreak/>
              <w:t>The Entertainer shall be instructed in the following:</w:t>
            </w:r>
          </w:p>
          <w:p w:rsidR="007E50F4" w:rsidRDefault="007E50F4" w:rsidP="007E50F4">
            <w:pPr>
              <w:pStyle w:val="ListParagraph"/>
              <w:numPr>
                <w:ilvl w:val="0"/>
                <w:numId w:val="1"/>
              </w:numPr>
              <w:autoSpaceDE w:val="0"/>
              <w:autoSpaceDN w:val="0"/>
              <w:adjustRightInd w:val="0"/>
              <w:rPr>
                <w:rFonts w:ascii="Verdana" w:hAnsi="Verdana" w:cs="Verdana"/>
                <w:sz w:val="24"/>
                <w:szCs w:val="24"/>
              </w:rPr>
            </w:pPr>
            <w:r>
              <w:rPr>
                <w:rFonts w:ascii="Verdana" w:hAnsi="Verdana" w:cs="Verdana"/>
                <w:sz w:val="24"/>
                <w:szCs w:val="24"/>
              </w:rPr>
              <w:t xml:space="preserve">Correct use of the equipment </w:t>
            </w:r>
          </w:p>
          <w:p w:rsidR="007E50F4" w:rsidRPr="007E50F4" w:rsidRDefault="007E50F4" w:rsidP="007E50F4">
            <w:pPr>
              <w:pStyle w:val="ListParagraph"/>
              <w:numPr>
                <w:ilvl w:val="0"/>
                <w:numId w:val="1"/>
              </w:numPr>
              <w:autoSpaceDE w:val="0"/>
              <w:autoSpaceDN w:val="0"/>
              <w:adjustRightInd w:val="0"/>
              <w:rPr>
                <w:rFonts w:ascii="Verdana" w:hAnsi="Verdana" w:cs="Verdana"/>
                <w:sz w:val="24"/>
                <w:szCs w:val="24"/>
              </w:rPr>
            </w:pPr>
            <w:r>
              <w:rPr>
                <w:rFonts w:ascii="Verdana" w:hAnsi="Verdana" w:cs="Verdana"/>
                <w:sz w:val="24"/>
                <w:szCs w:val="24"/>
              </w:rPr>
              <w:t xml:space="preserve">The Task Instructions </w:t>
            </w:r>
          </w:p>
          <w:p w:rsidR="004F1784" w:rsidRDefault="004F1784" w:rsidP="004F1784">
            <w:pPr>
              <w:autoSpaceDE w:val="0"/>
              <w:autoSpaceDN w:val="0"/>
              <w:adjustRightInd w:val="0"/>
              <w:rPr>
                <w:rFonts w:ascii="Verdana" w:hAnsi="Verdana" w:cs="Verdana"/>
                <w:sz w:val="24"/>
                <w:szCs w:val="24"/>
              </w:rPr>
            </w:pPr>
          </w:p>
        </w:tc>
      </w:tr>
    </w:tbl>
    <w:p w:rsidR="00576782" w:rsidRDefault="00576782">
      <w:r>
        <w:lastRenderedPageBreak/>
        <w:br w:type="page"/>
      </w:r>
    </w:p>
    <w:tbl>
      <w:tblPr>
        <w:tblStyle w:val="TableGrid"/>
        <w:tblW w:w="0" w:type="auto"/>
        <w:tblLook w:val="04A0"/>
      </w:tblPr>
      <w:tblGrid>
        <w:gridCol w:w="4621"/>
        <w:gridCol w:w="4621"/>
      </w:tblGrid>
      <w:tr w:rsidR="004F1784" w:rsidRPr="004F1784" w:rsidTr="004F1784">
        <w:tc>
          <w:tcPr>
            <w:tcW w:w="4621" w:type="dxa"/>
          </w:tcPr>
          <w:p w:rsidR="004F1784" w:rsidRDefault="007E50F4" w:rsidP="004F1784">
            <w:pPr>
              <w:autoSpaceDE w:val="0"/>
              <w:autoSpaceDN w:val="0"/>
              <w:adjustRightInd w:val="0"/>
              <w:rPr>
                <w:rFonts w:ascii="Verdana" w:hAnsi="Verdana" w:cs="Verdana"/>
                <w:sz w:val="24"/>
                <w:szCs w:val="24"/>
              </w:rPr>
            </w:pPr>
            <w:r>
              <w:rPr>
                <w:rFonts w:ascii="Verdana" w:hAnsi="Verdana" w:cs="Verdana"/>
                <w:sz w:val="24"/>
                <w:szCs w:val="24"/>
              </w:rPr>
              <w:lastRenderedPageBreak/>
              <w:t>Management Control</w:t>
            </w:r>
          </w:p>
        </w:tc>
        <w:tc>
          <w:tcPr>
            <w:tcW w:w="4621" w:type="dxa"/>
          </w:tcPr>
          <w:p w:rsidR="007E50F4" w:rsidRDefault="007E50F4" w:rsidP="007E50F4">
            <w:pPr>
              <w:autoSpaceDE w:val="0"/>
              <w:autoSpaceDN w:val="0"/>
              <w:adjustRightInd w:val="0"/>
              <w:rPr>
                <w:rFonts w:ascii="Verdana" w:hAnsi="Verdana" w:cs="Verdana"/>
                <w:sz w:val="24"/>
                <w:szCs w:val="24"/>
              </w:rPr>
            </w:pPr>
            <w:r>
              <w:rPr>
                <w:rFonts w:ascii="Verdana" w:hAnsi="Verdana" w:cs="Verdana"/>
                <w:sz w:val="24"/>
                <w:szCs w:val="24"/>
              </w:rPr>
              <w:t xml:space="preserve">We will ensure that the Entertainer has Disclosure Scotland clearance, has been instructed and are competent, and will check that instructions are being followed on an occasional basis.  No other people than those trained on this activity are allowed to undertake it.  Any defective material should be removed immediately.  </w:t>
            </w:r>
          </w:p>
        </w:tc>
      </w:tr>
      <w:tr w:rsidR="007E50F4" w:rsidRPr="004F1784" w:rsidTr="004F1784">
        <w:tc>
          <w:tcPr>
            <w:tcW w:w="4621" w:type="dxa"/>
          </w:tcPr>
          <w:p w:rsidR="007E50F4" w:rsidRDefault="007E50F4" w:rsidP="004F1784">
            <w:pPr>
              <w:autoSpaceDE w:val="0"/>
              <w:autoSpaceDN w:val="0"/>
              <w:adjustRightInd w:val="0"/>
              <w:rPr>
                <w:rFonts w:ascii="Verdana" w:hAnsi="Verdana" w:cs="Verdana"/>
                <w:sz w:val="24"/>
                <w:szCs w:val="24"/>
              </w:rPr>
            </w:pPr>
            <w:r>
              <w:rPr>
                <w:rFonts w:ascii="Verdana" w:hAnsi="Verdana" w:cs="Verdana"/>
                <w:sz w:val="24"/>
                <w:szCs w:val="24"/>
              </w:rPr>
              <w:t>Procedures for Serious and Imminent Danger</w:t>
            </w:r>
          </w:p>
        </w:tc>
        <w:tc>
          <w:tcPr>
            <w:tcW w:w="4621" w:type="dxa"/>
          </w:tcPr>
          <w:p w:rsidR="007E50F4" w:rsidRDefault="007E50F4" w:rsidP="007E50F4">
            <w:pPr>
              <w:autoSpaceDE w:val="0"/>
              <w:autoSpaceDN w:val="0"/>
              <w:adjustRightInd w:val="0"/>
              <w:rPr>
                <w:rFonts w:ascii="Verdana" w:hAnsi="Verdana" w:cs="Verdana"/>
                <w:sz w:val="24"/>
                <w:szCs w:val="24"/>
              </w:rPr>
            </w:pPr>
            <w:r>
              <w:rPr>
                <w:rFonts w:ascii="Verdana" w:hAnsi="Verdana" w:cs="Verdana"/>
                <w:sz w:val="24"/>
                <w:szCs w:val="24"/>
              </w:rPr>
              <w:t xml:space="preserve">All procedures regarding Incident and Accident Reporting, Emergency Evacuation Procedure will be the responsibility of the Organiser from the Client. </w:t>
            </w:r>
          </w:p>
          <w:p w:rsidR="00B94B48" w:rsidRDefault="00B94B48" w:rsidP="007E50F4">
            <w:pPr>
              <w:autoSpaceDE w:val="0"/>
              <w:autoSpaceDN w:val="0"/>
              <w:adjustRightInd w:val="0"/>
              <w:rPr>
                <w:rFonts w:ascii="Verdana" w:hAnsi="Verdana" w:cs="Verdana"/>
                <w:sz w:val="24"/>
                <w:szCs w:val="24"/>
              </w:rPr>
            </w:pPr>
          </w:p>
        </w:tc>
      </w:tr>
      <w:tr w:rsidR="00B94B48" w:rsidRPr="004F1784" w:rsidTr="004F1784">
        <w:tc>
          <w:tcPr>
            <w:tcW w:w="4621" w:type="dxa"/>
          </w:tcPr>
          <w:p w:rsidR="00B94B48" w:rsidRDefault="00B94B48" w:rsidP="004F1784">
            <w:pPr>
              <w:autoSpaceDE w:val="0"/>
              <w:autoSpaceDN w:val="0"/>
              <w:adjustRightInd w:val="0"/>
              <w:rPr>
                <w:rFonts w:ascii="Verdana" w:hAnsi="Verdana" w:cs="Verdana"/>
                <w:sz w:val="24"/>
                <w:szCs w:val="24"/>
              </w:rPr>
            </w:pPr>
            <w:r>
              <w:rPr>
                <w:rFonts w:ascii="Verdana" w:hAnsi="Verdana" w:cs="Verdana"/>
                <w:sz w:val="24"/>
                <w:szCs w:val="24"/>
              </w:rPr>
              <w:t xml:space="preserve">Monitoring and Reviewing </w:t>
            </w:r>
          </w:p>
        </w:tc>
        <w:tc>
          <w:tcPr>
            <w:tcW w:w="4621" w:type="dxa"/>
          </w:tcPr>
          <w:p w:rsidR="00B94B48" w:rsidRDefault="00B94B48" w:rsidP="007E50F4">
            <w:pPr>
              <w:autoSpaceDE w:val="0"/>
              <w:autoSpaceDN w:val="0"/>
              <w:adjustRightInd w:val="0"/>
              <w:rPr>
                <w:rFonts w:ascii="Verdana" w:hAnsi="Verdana" w:cs="Verdana"/>
                <w:sz w:val="24"/>
                <w:szCs w:val="24"/>
                <w:u w:val="single"/>
              </w:rPr>
            </w:pPr>
            <w:r>
              <w:rPr>
                <w:rFonts w:ascii="Verdana" w:hAnsi="Verdana" w:cs="Verdana"/>
                <w:sz w:val="24"/>
                <w:szCs w:val="24"/>
                <w:u w:val="single"/>
              </w:rPr>
              <w:t>Inspections</w:t>
            </w:r>
          </w:p>
          <w:p w:rsidR="00B94B48" w:rsidRDefault="00B94B48" w:rsidP="007E50F4">
            <w:pPr>
              <w:autoSpaceDE w:val="0"/>
              <w:autoSpaceDN w:val="0"/>
              <w:adjustRightInd w:val="0"/>
              <w:rPr>
                <w:rFonts w:ascii="Verdana" w:hAnsi="Verdana" w:cs="Verdana"/>
                <w:sz w:val="24"/>
                <w:szCs w:val="24"/>
              </w:rPr>
            </w:pPr>
            <w:r>
              <w:rPr>
                <w:rFonts w:ascii="Verdana" w:hAnsi="Verdana" w:cs="Verdana"/>
                <w:sz w:val="24"/>
                <w:szCs w:val="24"/>
              </w:rPr>
              <w:t>The Entertainer shall inspect all equipment for suitability prior to taking the contract on</w:t>
            </w:r>
          </w:p>
          <w:p w:rsidR="00B94B48" w:rsidRDefault="00B94B48" w:rsidP="007E50F4">
            <w:pPr>
              <w:autoSpaceDE w:val="0"/>
              <w:autoSpaceDN w:val="0"/>
              <w:adjustRightInd w:val="0"/>
              <w:rPr>
                <w:rFonts w:ascii="Verdana" w:hAnsi="Verdana" w:cs="Verdana"/>
                <w:sz w:val="24"/>
                <w:szCs w:val="24"/>
              </w:rPr>
            </w:pPr>
          </w:p>
          <w:p w:rsidR="00B94B48" w:rsidRDefault="00B94B48" w:rsidP="007E50F4">
            <w:pPr>
              <w:autoSpaceDE w:val="0"/>
              <w:autoSpaceDN w:val="0"/>
              <w:adjustRightInd w:val="0"/>
              <w:rPr>
                <w:rFonts w:ascii="Verdana" w:hAnsi="Verdana" w:cs="Verdana"/>
                <w:sz w:val="24"/>
                <w:szCs w:val="24"/>
                <w:u w:val="single"/>
              </w:rPr>
            </w:pPr>
            <w:r>
              <w:rPr>
                <w:rFonts w:ascii="Verdana" w:hAnsi="Verdana" w:cs="Verdana"/>
                <w:sz w:val="24"/>
                <w:szCs w:val="24"/>
                <w:u w:val="single"/>
              </w:rPr>
              <w:t>Accident/Incident Investigation</w:t>
            </w:r>
          </w:p>
          <w:p w:rsidR="00B94B48" w:rsidRDefault="00B94B48" w:rsidP="007E50F4">
            <w:pPr>
              <w:autoSpaceDE w:val="0"/>
              <w:autoSpaceDN w:val="0"/>
              <w:adjustRightInd w:val="0"/>
              <w:rPr>
                <w:rFonts w:ascii="Verdana" w:hAnsi="Verdana" w:cs="Verdana"/>
                <w:sz w:val="24"/>
                <w:szCs w:val="24"/>
              </w:rPr>
            </w:pPr>
            <w:r>
              <w:rPr>
                <w:rFonts w:ascii="Verdana" w:hAnsi="Verdana" w:cs="Verdana"/>
                <w:sz w:val="24"/>
                <w:szCs w:val="24"/>
              </w:rPr>
              <w:t xml:space="preserve">The Health &amp; Safety Manager shall liaise with the client in order to investigate any accident or incident occurring with the operation </w:t>
            </w:r>
          </w:p>
          <w:p w:rsidR="00B94B48" w:rsidRDefault="00B94B48" w:rsidP="007E50F4">
            <w:pPr>
              <w:autoSpaceDE w:val="0"/>
              <w:autoSpaceDN w:val="0"/>
              <w:adjustRightInd w:val="0"/>
              <w:rPr>
                <w:rFonts w:ascii="Verdana" w:hAnsi="Verdana" w:cs="Verdana"/>
                <w:sz w:val="24"/>
                <w:szCs w:val="24"/>
              </w:rPr>
            </w:pPr>
          </w:p>
          <w:p w:rsidR="00B94B48" w:rsidRDefault="00B94B48" w:rsidP="007E50F4">
            <w:pPr>
              <w:autoSpaceDE w:val="0"/>
              <w:autoSpaceDN w:val="0"/>
              <w:adjustRightInd w:val="0"/>
              <w:rPr>
                <w:rFonts w:ascii="Verdana" w:hAnsi="Verdana" w:cs="Verdana"/>
                <w:sz w:val="24"/>
                <w:szCs w:val="24"/>
                <w:u w:val="single"/>
              </w:rPr>
            </w:pPr>
            <w:r>
              <w:rPr>
                <w:rFonts w:ascii="Verdana" w:hAnsi="Verdana" w:cs="Verdana"/>
                <w:sz w:val="24"/>
                <w:szCs w:val="24"/>
                <w:u w:val="single"/>
              </w:rPr>
              <w:t>Risk Assessment Review</w:t>
            </w:r>
          </w:p>
          <w:p w:rsidR="00B94B48" w:rsidRDefault="00B94B48" w:rsidP="007E50F4">
            <w:pPr>
              <w:autoSpaceDE w:val="0"/>
              <w:autoSpaceDN w:val="0"/>
              <w:adjustRightInd w:val="0"/>
              <w:rPr>
                <w:rFonts w:ascii="Verdana" w:hAnsi="Verdana" w:cs="Verdana"/>
                <w:sz w:val="24"/>
                <w:szCs w:val="24"/>
              </w:rPr>
            </w:pPr>
            <w:r>
              <w:rPr>
                <w:rFonts w:ascii="Verdana" w:hAnsi="Verdana" w:cs="Verdana"/>
                <w:sz w:val="24"/>
                <w:szCs w:val="24"/>
              </w:rPr>
              <w:t>This Risk Assessment shall be reviewed at intervals of 2 years or after any modification, complaint, incident or accident.</w:t>
            </w:r>
          </w:p>
          <w:p w:rsidR="00B94B48" w:rsidRPr="00B94B48" w:rsidRDefault="00B94B48" w:rsidP="007E50F4">
            <w:pPr>
              <w:autoSpaceDE w:val="0"/>
              <w:autoSpaceDN w:val="0"/>
              <w:adjustRightInd w:val="0"/>
              <w:rPr>
                <w:rFonts w:ascii="Verdana" w:hAnsi="Verdana" w:cs="Verdana"/>
                <w:sz w:val="24"/>
                <w:szCs w:val="24"/>
              </w:rPr>
            </w:pPr>
          </w:p>
        </w:tc>
      </w:tr>
    </w:tbl>
    <w:p w:rsidR="004F1784" w:rsidRDefault="004F1784"/>
    <w:sectPr w:rsidR="004F1784" w:rsidSect="00757C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5B1"/>
    <w:multiLevelType w:val="hybridMultilevel"/>
    <w:tmpl w:val="A8A2DF5E"/>
    <w:lvl w:ilvl="0" w:tplc="CF3EF4A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1784"/>
    <w:rsid w:val="002D122D"/>
    <w:rsid w:val="0037200A"/>
    <w:rsid w:val="004F1784"/>
    <w:rsid w:val="00525514"/>
    <w:rsid w:val="00576782"/>
    <w:rsid w:val="00757CED"/>
    <w:rsid w:val="007E50F4"/>
    <w:rsid w:val="007F2072"/>
    <w:rsid w:val="00B94B48"/>
    <w:rsid w:val="00BC0F33"/>
    <w:rsid w:val="00CB695F"/>
    <w:rsid w:val="00D26844"/>
    <w:rsid w:val="00DC69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3</cp:revision>
  <dcterms:created xsi:type="dcterms:W3CDTF">2015-05-13T18:13:00Z</dcterms:created>
  <dcterms:modified xsi:type="dcterms:W3CDTF">2015-05-13T18:16:00Z</dcterms:modified>
</cp:coreProperties>
</file>